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17B3" w14:textId="77777777" w:rsidR="00A405BD" w:rsidRPr="00A405BD" w:rsidRDefault="00A405BD" w:rsidP="00A405BD">
      <w:pPr>
        <w:pStyle w:val="Normlnweb"/>
        <w:rPr>
          <w:b/>
          <w:color w:val="000000"/>
          <w:sz w:val="27"/>
          <w:szCs w:val="27"/>
        </w:rPr>
      </w:pPr>
      <w:r w:rsidRPr="00A405BD">
        <w:rPr>
          <w:b/>
          <w:color w:val="000000"/>
          <w:sz w:val="27"/>
          <w:szCs w:val="27"/>
        </w:rPr>
        <w:t>Dodatek ke školnímu řádu: Klasifikační řád</w:t>
      </w:r>
    </w:p>
    <w:p w14:paraId="6F73F1E9" w14:textId="77777777" w:rsidR="00A405BD" w:rsidRDefault="00A405BD" w:rsidP="00A405B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Žáci, na něž se vztahuje zákon č. 67/2022 Sb. jsou ve školním roce 2021/2022 hodnoceni na vysvědčení slovně (dle vyhlášky č.48/2005). Výsledky vzdělávání žáka lze slovně hodnotit samostatně za každý předmět zvlášť, souhrnně za všechny předměty.</w:t>
      </w:r>
    </w:p>
    <w:p w14:paraId="4E146736" w14:textId="77777777" w:rsidR="00A405BD" w:rsidRDefault="00A405BD" w:rsidP="00A405B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Počet požadovaných podkladů pro hodnocení těchto žáků, tj. počet známek, množství a rozsah písemných testů, ústního zkoušení není pevně stanoven. Průběžně může být žák hodnocen známkou, slovně nebo kombinovaně.</w:t>
      </w:r>
    </w:p>
    <w:p w14:paraId="5C89D975" w14:textId="77777777" w:rsidR="003727AB" w:rsidRDefault="00A405BD">
      <w:bookmarkStart w:id="0" w:name="_GoBack"/>
      <w:bookmarkEnd w:id="0"/>
    </w:p>
    <w:sectPr w:rsidR="0037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C6"/>
    <w:rsid w:val="000A0F9F"/>
    <w:rsid w:val="00674BC6"/>
    <w:rsid w:val="0093004D"/>
    <w:rsid w:val="00A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20CF-D44B-444F-A247-6048016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</cp:revision>
  <dcterms:created xsi:type="dcterms:W3CDTF">2022-09-08T10:01:00Z</dcterms:created>
  <dcterms:modified xsi:type="dcterms:W3CDTF">2022-09-08T10:03:00Z</dcterms:modified>
</cp:coreProperties>
</file>